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Pr="00E64A9A" w:rsidRDefault="00866F81" w:rsidP="00866F81">
      <w:pPr>
        <w:pStyle w:val="KonuBal"/>
        <w:widowControl w:val="0"/>
        <w:spacing w:after="200"/>
        <w:rPr>
          <w:rFonts w:ascii="Arial" w:hAnsi="Arial" w:cs="Arial"/>
          <w:szCs w:val="22"/>
          <w:lang w:val="en-GB"/>
        </w:rPr>
      </w:pPr>
      <w:r>
        <w:rPr>
          <w:rFonts w:ascii="Arial" w:hAnsi="Arial" w:cs="Arial"/>
          <w:bCs w:val="0"/>
          <w:lang w:val="en-GB"/>
        </w:rPr>
        <w:t>Pre-speaking Strategies for Developing Speaking Skills*</w:t>
      </w:r>
    </w:p>
    <w:p w:rsidR="00866F81" w:rsidRDefault="00866F81" w:rsidP="00866F81">
      <w:pPr>
        <w:widowControl w:val="0"/>
        <w:jc w:val="center"/>
        <w:rPr>
          <w:rFonts w:ascii="Arial" w:hAnsi="Arial" w:cs="Arial"/>
          <w:i/>
          <w:szCs w:val="22"/>
          <w:lang w:val="en-GB"/>
        </w:rPr>
      </w:pPr>
      <w:r>
        <w:rPr>
          <w:rFonts w:ascii="Arial" w:hAnsi="Arial" w:cs="Arial"/>
          <w:i/>
          <w:szCs w:val="22"/>
          <w:lang w:val="en-GB"/>
        </w:rPr>
        <w:t xml:space="preserve">Emine </w:t>
      </w:r>
      <w:proofErr w:type="spellStart"/>
      <w:r>
        <w:rPr>
          <w:rFonts w:ascii="Arial" w:hAnsi="Arial" w:cs="Arial"/>
          <w:i/>
          <w:szCs w:val="22"/>
          <w:lang w:val="en-GB"/>
        </w:rPr>
        <w:t>Akkaş</w:t>
      </w:r>
      <w:proofErr w:type="spellEnd"/>
      <w:r>
        <w:rPr>
          <w:rFonts w:ascii="Arial" w:hAnsi="Arial" w:cs="Arial"/>
          <w:i/>
          <w:szCs w:val="22"/>
          <w:lang w:val="en-GB"/>
        </w:rPr>
        <w:t xml:space="preserve"> </w:t>
      </w:r>
      <w:proofErr w:type="spellStart"/>
      <w:r>
        <w:rPr>
          <w:rFonts w:ascii="Arial" w:hAnsi="Arial" w:cs="Arial"/>
          <w:i/>
          <w:szCs w:val="22"/>
          <w:lang w:val="en-GB"/>
        </w:rPr>
        <w:t>Baysal</w:t>
      </w:r>
      <w:proofErr w:type="spellEnd"/>
    </w:p>
    <w:p w:rsidR="00866F81" w:rsidRDefault="00866F81" w:rsidP="00866F81">
      <w:pPr>
        <w:widowControl w:val="0"/>
        <w:jc w:val="center"/>
        <w:rPr>
          <w:rFonts w:ascii="Arial" w:hAnsi="Arial" w:cs="Arial"/>
          <w:i/>
          <w:szCs w:val="22"/>
          <w:lang w:val="en-GB"/>
        </w:rPr>
      </w:pPr>
      <w:r>
        <w:rPr>
          <w:rFonts w:ascii="Arial" w:hAnsi="Arial" w:cs="Arial"/>
          <w:i/>
          <w:szCs w:val="22"/>
          <w:lang w:val="en-GB"/>
        </w:rPr>
        <w:t xml:space="preserve">Dr, Ministry of Education, </w:t>
      </w:r>
      <w:proofErr w:type="spellStart"/>
      <w:r>
        <w:rPr>
          <w:rFonts w:ascii="Arial" w:hAnsi="Arial" w:cs="Arial"/>
          <w:i/>
          <w:szCs w:val="22"/>
          <w:lang w:val="en-GB"/>
        </w:rPr>
        <w:t>Afyon</w:t>
      </w:r>
      <w:proofErr w:type="spellEnd"/>
      <w:r>
        <w:rPr>
          <w:rFonts w:ascii="Arial" w:hAnsi="Arial" w:cs="Arial"/>
          <w:i/>
          <w:szCs w:val="22"/>
          <w:lang w:val="en-GB"/>
        </w:rPr>
        <w:t>, Turkey</w:t>
      </w:r>
    </w:p>
    <w:p w:rsidR="00866F81" w:rsidRDefault="00866F81" w:rsidP="00866F81">
      <w:pPr>
        <w:widowControl w:val="0"/>
        <w:jc w:val="center"/>
        <w:rPr>
          <w:rFonts w:ascii="Arial" w:hAnsi="Arial" w:cs="Arial"/>
          <w:i/>
          <w:szCs w:val="22"/>
          <w:lang w:val="en-GB"/>
        </w:rPr>
      </w:pPr>
      <w:proofErr w:type="spellStart"/>
      <w:r>
        <w:rPr>
          <w:rFonts w:ascii="Arial" w:hAnsi="Arial" w:cs="Arial"/>
          <w:i/>
          <w:szCs w:val="22"/>
          <w:lang w:val="en-GB"/>
        </w:rPr>
        <w:t>Gürbüz</w:t>
      </w:r>
      <w:proofErr w:type="spellEnd"/>
      <w:r>
        <w:rPr>
          <w:rFonts w:ascii="Arial" w:hAnsi="Arial" w:cs="Arial"/>
          <w:i/>
          <w:szCs w:val="22"/>
          <w:lang w:val="en-GB"/>
        </w:rPr>
        <w:t xml:space="preserve"> </w:t>
      </w:r>
      <w:proofErr w:type="spellStart"/>
      <w:r>
        <w:rPr>
          <w:rFonts w:ascii="Arial" w:hAnsi="Arial" w:cs="Arial"/>
          <w:i/>
          <w:szCs w:val="22"/>
          <w:lang w:val="en-GB"/>
        </w:rPr>
        <w:t>Ocak</w:t>
      </w:r>
      <w:proofErr w:type="spellEnd"/>
    </w:p>
    <w:p w:rsidR="00866F81" w:rsidRPr="002F0A33" w:rsidRDefault="00866F81" w:rsidP="00866F81">
      <w:pPr>
        <w:widowControl w:val="0"/>
        <w:jc w:val="center"/>
        <w:rPr>
          <w:rFonts w:ascii="Arial" w:hAnsi="Arial" w:cs="Arial"/>
          <w:i/>
          <w:szCs w:val="22"/>
          <w:lang w:val="en-GB"/>
        </w:rPr>
      </w:pPr>
      <w:proofErr w:type="spellStart"/>
      <w:r>
        <w:rPr>
          <w:rFonts w:ascii="Arial" w:hAnsi="Arial" w:cs="Arial"/>
          <w:i/>
          <w:szCs w:val="22"/>
          <w:lang w:val="en-GB"/>
        </w:rPr>
        <w:t>Prof.</w:t>
      </w:r>
      <w:proofErr w:type="spellEnd"/>
      <w:r>
        <w:rPr>
          <w:rFonts w:ascii="Arial" w:hAnsi="Arial" w:cs="Arial"/>
          <w:i/>
          <w:szCs w:val="22"/>
          <w:lang w:val="en-GB"/>
        </w:rPr>
        <w:t xml:space="preserve"> </w:t>
      </w:r>
      <w:proofErr w:type="spellStart"/>
      <w:r>
        <w:rPr>
          <w:rFonts w:ascii="Arial" w:hAnsi="Arial" w:cs="Arial"/>
          <w:i/>
          <w:szCs w:val="22"/>
          <w:lang w:val="en-GB"/>
        </w:rPr>
        <w:t>Dr.</w:t>
      </w:r>
      <w:proofErr w:type="spellEnd"/>
      <w:r>
        <w:rPr>
          <w:rFonts w:ascii="Arial" w:hAnsi="Arial" w:cs="Arial"/>
          <w:i/>
          <w:szCs w:val="22"/>
          <w:lang w:val="en-GB"/>
        </w:rPr>
        <w:t xml:space="preserve">, </w:t>
      </w:r>
      <w:proofErr w:type="spellStart"/>
      <w:r>
        <w:rPr>
          <w:rFonts w:ascii="Arial" w:hAnsi="Arial" w:cs="Arial"/>
          <w:i/>
          <w:szCs w:val="22"/>
          <w:lang w:val="en-GB"/>
        </w:rPr>
        <w:t>Afyon</w:t>
      </w:r>
      <w:proofErr w:type="spellEnd"/>
      <w:r>
        <w:rPr>
          <w:rFonts w:ascii="Arial" w:hAnsi="Arial" w:cs="Arial"/>
          <w:i/>
          <w:szCs w:val="22"/>
          <w:lang w:val="en-GB"/>
        </w:rPr>
        <w:t xml:space="preserve"> </w:t>
      </w:r>
      <w:proofErr w:type="spellStart"/>
      <w:r>
        <w:rPr>
          <w:rFonts w:ascii="Arial" w:hAnsi="Arial" w:cs="Arial"/>
          <w:i/>
          <w:szCs w:val="22"/>
          <w:lang w:val="en-GB"/>
        </w:rPr>
        <w:t>Kocatepe</w:t>
      </w:r>
      <w:proofErr w:type="spellEnd"/>
      <w:r>
        <w:rPr>
          <w:rFonts w:ascii="Arial" w:hAnsi="Arial" w:cs="Arial"/>
          <w:i/>
          <w:szCs w:val="22"/>
          <w:lang w:val="en-GB"/>
        </w:rPr>
        <w:t xml:space="preserve"> University, Turkey</w:t>
      </w:r>
    </w:p>
    <w:p w:rsidR="00B53A73" w:rsidRDefault="00866F81">
      <w:r>
        <w:rPr>
          <w:noProof/>
          <w:lang w:val="tr-TR" w:eastAsia="tr-TR"/>
        </w:rPr>
        <w:drawing>
          <wp:inline distT="0" distB="0" distL="0" distR="0">
            <wp:extent cx="5486400" cy="7120466"/>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66F81" w:rsidRDefault="00866F81"/>
    <w:p w:rsidR="00866F81" w:rsidRDefault="00866F81"/>
    <w:p w:rsidR="00866F81" w:rsidRDefault="00866F81"/>
    <w:p w:rsidR="00866F81" w:rsidRDefault="00866F81"/>
    <w:p w:rsidR="00866F81" w:rsidRDefault="00866F81">
      <w:bookmarkStart w:id="0" w:name="_GoBack"/>
      <w:r>
        <w:rPr>
          <w:noProof/>
          <w:lang w:val="tr-TR" w:eastAsia="tr-TR"/>
        </w:rPr>
        <w:lastRenderedPageBreak/>
        <w:drawing>
          <wp:inline distT="0" distB="0" distL="0" distR="0">
            <wp:extent cx="5486400" cy="8771466"/>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sectPr w:rsidR="00866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81"/>
    <w:rsid w:val="0009380A"/>
    <w:rsid w:val="00866F81"/>
    <w:rsid w:val="00F03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81"/>
    <w:pPr>
      <w:spacing w:after="0" w:line="240" w:lineRule="auto"/>
    </w:pPr>
    <w:rPr>
      <w:rFonts w:ascii="Times New Roman" w:eastAsia="Times New Roman" w:hAnsi="Times New Roman" w:cs="Times New Roman"/>
      <w:sz w:val="24"/>
      <w:szCs w:val="24"/>
      <w:lang w:val="es-ES" w:eastAsia="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AltKonuBal"/>
    <w:link w:val="KonuBalChar"/>
    <w:qFormat/>
    <w:rsid w:val="00866F81"/>
    <w:pPr>
      <w:tabs>
        <w:tab w:val="left" w:pos="340"/>
      </w:tabs>
      <w:suppressAutoHyphens/>
      <w:jc w:val="center"/>
    </w:pPr>
    <w:rPr>
      <w:b/>
      <w:bCs/>
      <w:sz w:val="28"/>
      <w:szCs w:val="28"/>
      <w:lang w:val="hr-HR" w:eastAsia="en-US"/>
    </w:rPr>
  </w:style>
  <w:style w:type="character" w:customStyle="1" w:styleId="KonuBalChar">
    <w:name w:val="Konu Başlığı Char"/>
    <w:basedOn w:val="VarsaylanParagrafYazTipi"/>
    <w:link w:val="KonuBal"/>
    <w:rsid w:val="00866F81"/>
    <w:rPr>
      <w:rFonts w:ascii="Times New Roman" w:eastAsia="Times New Roman" w:hAnsi="Times New Roman" w:cs="Times New Roman"/>
      <w:b/>
      <w:bCs/>
      <w:sz w:val="28"/>
      <w:szCs w:val="28"/>
      <w:lang w:val="hr-HR"/>
    </w:rPr>
  </w:style>
  <w:style w:type="paragraph" w:styleId="AltKonuBal">
    <w:name w:val="Subtitle"/>
    <w:basedOn w:val="Normal"/>
    <w:next w:val="Normal"/>
    <w:link w:val="AltKonuBalChar"/>
    <w:uiPriority w:val="11"/>
    <w:qFormat/>
    <w:rsid w:val="00866F8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866F81"/>
    <w:rPr>
      <w:rFonts w:asciiTheme="majorHAnsi" w:eastAsiaTheme="majorEastAsia" w:hAnsiTheme="majorHAnsi" w:cstheme="majorBidi"/>
      <w:i/>
      <w:iCs/>
      <w:color w:val="4F81BD" w:themeColor="accent1"/>
      <w:spacing w:val="15"/>
      <w:sz w:val="24"/>
      <w:szCs w:val="24"/>
      <w:lang w:val="es-ES" w:eastAsia="es-ES"/>
    </w:rPr>
  </w:style>
  <w:style w:type="paragraph" w:styleId="BalonMetni">
    <w:name w:val="Balloon Text"/>
    <w:basedOn w:val="Normal"/>
    <w:link w:val="BalonMetniChar"/>
    <w:uiPriority w:val="99"/>
    <w:semiHidden/>
    <w:unhideWhenUsed/>
    <w:rsid w:val="00866F81"/>
    <w:rPr>
      <w:rFonts w:ascii="Tahoma" w:hAnsi="Tahoma" w:cs="Tahoma"/>
      <w:sz w:val="16"/>
      <w:szCs w:val="16"/>
    </w:rPr>
  </w:style>
  <w:style w:type="character" w:customStyle="1" w:styleId="BalonMetniChar">
    <w:name w:val="Balon Metni Char"/>
    <w:basedOn w:val="VarsaylanParagrafYazTipi"/>
    <w:link w:val="BalonMetni"/>
    <w:uiPriority w:val="99"/>
    <w:semiHidden/>
    <w:rsid w:val="00866F8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81"/>
    <w:pPr>
      <w:spacing w:after="0" w:line="240" w:lineRule="auto"/>
    </w:pPr>
    <w:rPr>
      <w:rFonts w:ascii="Times New Roman" w:eastAsia="Times New Roman" w:hAnsi="Times New Roman" w:cs="Times New Roman"/>
      <w:sz w:val="24"/>
      <w:szCs w:val="24"/>
      <w:lang w:val="es-ES" w:eastAsia="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AltKonuBal"/>
    <w:link w:val="KonuBalChar"/>
    <w:qFormat/>
    <w:rsid w:val="00866F81"/>
    <w:pPr>
      <w:tabs>
        <w:tab w:val="left" w:pos="340"/>
      </w:tabs>
      <w:suppressAutoHyphens/>
      <w:jc w:val="center"/>
    </w:pPr>
    <w:rPr>
      <w:b/>
      <w:bCs/>
      <w:sz w:val="28"/>
      <w:szCs w:val="28"/>
      <w:lang w:val="hr-HR" w:eastAsia="en-US"/>
    </w:rPr>
  </w:style>
  <w:style w:type="character" w:customStyle="1" w:styleId="KonuBalChar">
    <w:name w:val="Konu Başlığı Char"/>
    <w:basedOn w:val="VarsaylanParagrafYazTipi"/>
    <w:link w:val="KonuBal"/>
    <w:rsid w:val="00866F81"/>
    <w:rPr>
      <w:rFonts w:ascii="Times New Roman" w:eastAsia="Times New Roman" w:hAnsi="Times New Roman" w:cs="Times New Roman"/>
      <w:b/>
      <w:bCs/>
      <w:sz w:val="28"/>
      <w:szCs w:val="28"/>
      <w:lang w:val="hr-HR"/>
    </w:rPr>
  </w:style>
  <w:style w:type="paragraph" w:styleId="AltKonuBal">
    <w:name w:val="Subtitle"/>
    <w:basedOn w:val="Normal"/>
    <w:next w:val="Normal"/>
    <w:link w:val="AltKonuBalChar"/>
    <w:uiPriority w:val="11"/>
    <w:qFormat/>
    <w:rsid w:val="00866F8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866F81"/>
    <w:rPr>
      <w:rFonts w:asciiTheme="majorHAnsi" w:eastAsiaTheme="majorEastAsia" w:hAnsiTheme="majorHAnsi" w:cstheme="majorBidi"/>
      <w:i/>
      <w:iCs/>
      <w:color w:val="4F81BD" w:themeColor="accent1"/>
      <w:spacing w:val="15"/>
      <w:sz w:val="24"/>
      <w:szCs w:val="24"/>
      <w:lang w:val="es-ES" w:eastAsia="es-ES"/>
    </w:rPr>
  </w:style>
  <w:style w:type="paragraph" w:styleId="BalonMetni">
    <w:name w:val="Balloon Text"/>
    <w:basedOn w:val="Normal"/>
    <w:link w:val="BalonMetniChar"/>
    <w:uiPriority w:val="99"/>
    <w:semiHidden/>
    <w:unhideWhenUsed/>
    <w:rsid w:val="00866F81"/>
    <w:rPr>
      <w:rFonts w:ascii="Tahoma" w:hAnsi="Tahoma" w:cs="Tahoma"/>
      <w:sz w:val="16"/>
      <w:szCs w:val="16"/>
    </w:rPr>
  </w:style>
  <w:style w:type="character" w:customStyle="1" w:styleId="BalonMetniChar">
    <w:name w:val="Balon Metni Char"/>
    <w:basedOn w:val="VarsaylanParagrafYazTipi"/>
    <w:link w:val="BalonMetni"/>
    <w:uiPriority w:val="99"/>
    <w:semiHidden/>
    <w:rsid w:val="00866F8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D0FB2-2F0D-424A-AB9E-5AF113E94271}" type="doc">
      <dgm:prSet loTypeId="urn:microsoft.com/office/officeart/2005/8/layout/matrix2" loCatId="matrix" qsTypeId="urn:microsoft.com/office/officeart/2005/8/quickstyle/simple1" qsCatId="simple" csTypeId="urn:microsoft.com/office/officeart/2005/8/colors/colorful2" csCatId="colorful" phldr="1"/>
      <dgm:spPr/>
      <dgm:t>
        <a:bodyPr/>
        <a:lstStyle/>
        <a:p>
          <a:endParaRPr lang="tr-TR"/>
        </a:p>
      </dgm:t>
    </dgm:pt>
    <dgm:pt modelId="{32D6C97A-D542-4A00-B37A-7C3B362B0442}">
      <dgm:prSet phldrT="[Metin]"/>
      <dgm:spPr/>
      <dgm:t>
        <a:bodyPr/>
        <a:lstStyle/>
        <a:p>
          <a:r>
            <a:rPr lang="en-GB" b="1"/>
            <a:t>1. Introduction</a:t>
          </a:r>
          <a:endParaRPr lang="tr-TR"/>
        </a:p>
        <a:p>
          <a:r>
            <a:rPr lang="tr-TR"/>
            <a:t>Speaking, among the four major skills, seems mostly favored as every English language learner aspires to be effective in communication. In other words, speaking has always been the most challenging skill for most of students. The importance of teaching speaking skill is that language is acquired through speaking and listening before one learns reading and writing.</a:t>
          </a:r>
        </a:p>
      </dgm:t>
    </dgm:pt>
    <dgm:pt modelId="{0FFC5930-CD6D-45B2-9543-18E47F19954B}" type="parTrans" cxnId="{B4DDCBC3-A343-46EE-9706-0F4C781D6E86}">
      <dgm:prSet/>
      <dgm:spPr/>
      <dgm:t>
        <a:bodyPr/>
        <a:lstStyle/>
        <a:p>
          <a:endParaRPr lang="tr-TR"/>
        </a:p>
      </dgm:t>
    </dgm:pt>
    <dgm:pt modelId="{DFE9A515-C98E-4296-AC82-4608A09115EE}" type="sibTrans" cxnId="{B4DDCBC3-A343-46EE-9706-0F4C781D6E86}">
      <dgm:prSet/>
      <dgm:spPr/>
      <dgm:t>
        <a:bodyPr/>
        <a:lstStyle/>
        <a:p>
          <a:endParaRPr lang="tr-TR"/>
        </a:p>
      </dgm:t>
    </dgm:pt>
    <dgm:pt modelId="{0FFA92C6-8962-460C-9950-3FA6F967816F}">
      <dgm:prSet phldrT="[Metin]"/>
      <dgm:spPr/>
      <dgm:t>
        <a:bodyPr/>
        <a:lstStyle/>
        <a:p>
          <a:r>
            <a:rPr lang="en-GB" b="1"/>
            <a:t>2.1. Sample of the Study</a:t>
          </a:r>
          <a:endParaRPr lang="tr-TR"/>
        </a:p>
        <a:p>
          <a:r>
            <a:rPr lang="en-GB"/>
            <a:t>The study group of the research was determined with the purposeful sampling method, which is one of the non-random sampling methods in order to conduct in-depth research and to reach data rich in accordance with the research problem. The study included 34 students, 20 females and 14 males, who continued their education in the 9-D class in a high school in the city center of Afyonkarahisar in the 2018-2019 academic year.</a:t>
          </a:r>
          <a:endParaRPr lang="tr-TR"/>
        </a:p>
      </dgm:t>
    </dgm:pt>
    <dgm:pt modelId="{DF8833C1-01A2-41AF-B2F1-DD338E0B546C}" type="parTrans" cxnId="{AB0257B4-A471-4157-AB6E-6BF663F137A4}">
      <dgm:prSet/>
      <dgm:spPr/>
      <dgm:t>
        <a:bodyPr/>
        <a:lstStyle/>
        <a:p>
          <a:endParaRPr lang="tr-TR"/>
        </a:p>
      </dgm:t>
    </dgm:pt>
    <dgm:pt modelId="{981B04EE-16CE-48E3-B8DA-86C1726625A8}" type="sibTrans" cxnId="{AB0257B4-A471-4157-AB6E-6BF663F137A4}">
      <dgm:prSet/>
      <dgm:spPr/>
      <dgm:t>
        <a:bodyPr/>
        <a:lstStyle/>
        <a:p>
          <a:endParaRPr lang="tr-TR"/>
        </a:p>
      </dgm:t>
    </dgm:pt>
    <dgm:pt modelId="{1535B420-78C2-455E-AAFB-858CF4793C25}">
      <dgm:prSet phldrT="[Metin]"/>
      <dgm:spPr/>
      <dgm:t>
        <a:bodyPr/>
        <a:lstStyle/>
        <a:p>
          <a:r>
            <a:rPr lang="en-GB" b="1"/>
            <a:t>2. Method</a:t>
          </a:r>
          <a:endParaRPr lang="tr-TR"/>
        </a:p>
        <a:p>
          <a:r>
            <a:rPr lang="en-GB"/>
            <a:t>The research was handled with the action research method, which is one of the qualitative research methods. Action research critically addresses the development and implementation of educational workers' own schools, classes, educational studies and initiatives, and the assessment of their effectiveness. </a:t>
          </a:r>
          <a:endParaRPr lang="tr-TR"/>
        </a:p>
      </dgm:t>
    </dgm:pt>
    <dgm:pt modelId="{9B5586BD-2AF9-4EE5-AF31-A4D0DD634EEF}" type="parTrans" cxnId="{720F3EC9-2ED9-4B1E-A785-4ACB58D03E07}">
      <dgm:prSet/>
      <dgm:spPr/>
      <dgm:t>
        <a:bodyPr/>
        <a:lstStyle/>
        <a:p>
          <a:endParaRPr lang="tr-TR"/>
        </a:p>
      </dgm:t>
    </dgm:pt>
    <dgm:pt modelId="{6C8AC10C-1805-42F3-BC6F-56A71E0DC6F5}" type="sibTrans" cxnId="{720F3EC9-2ED9-4B1E-A785-4ACB58D03E07}">
      <dgm:prSet/>
      <dgm:spPr/>
      <dgm:t>
        <a:bodyPr/>
        <a:lstStyle/>
        <a:p>
          <a:endParaRPr lang="tr-TR"/>
        </a:p>
      </dgm:t>
    </dgm:pt>
    <dgm:pt modelId="{29AECD52-8A3E-4215-80AC-F41A82545571}">
      <dgm:prSet phldrT="[Metin]"/>
      <dgm:spPr/>
      <dgm:t>
        <a:bodyPr/>
        <a:lstStyle/>
        <a:p>
          <a:r>
            <a:rPr lang="en-GB" b="1"/>
            <a:t>2.2. Data Collection Tools</a:t>
          </a:r>
          <a:endParaRPr lang="tr-TR"/>
        </a:p>
        <a:p>
          <a:r>
            <a:rPr lang="en-GB"/>
            <a:t>As the research was designed as a qualitative research, qualitative data collection tools were used in the data collection process. The data collection process of this research was carried out in two stages. The first data related to the research were collected during the implementation of the action plans. In this process, observation form and researcher diaries were used as data collection tools.</a:t>
          </a:r>
          <a:endParaRPr lang="tr-TR"/>
        </a:p>
        <a:p>
          <a:r>
            <a:rPr lang="en-US"/>
            <a:t>The second step of collecting data for the research is to conduct interviews. At this stage, the data were collected through semi-structured interview forms. </a:t>
          </a:r>
          <a:endParaRPr lang="tr-TR"/>
        </a:p>
      </dgm:t>
    </dgm:pt>
    <dgm:pt modelId="{F5DFB0AE-3060-4C73-8E7C-73AD0E62740F}" type="parTrans" cxnId="{7E7C64C4-D43C-4B88-8E42-B9837293F214}">
      <dgm:prSet/>
      <dgm:spPr/>
      <dgm:t>
        <a:bodyPr/>
        <a:lstStyle/>
        <a:p>
          <a:endParaRPr lang="tr-TR"/>
        </a:p>
      </dgm:t>
    </dgm:pt>
    <dgm:pt modelId="{8021FE59-C83C-4213-BEE0-D476BD892ACB}" type="sibTrans" cxnId="{7E7C64C4-D43C-4B88-8E42-B9837293F214}">
      <dgm:prSet/>
      <dgm:spPr/>
      <dgm:t>
        <a:bodyPr/>
        <a:lstStyle/>
        <a:p>
          <a:endParaRPr lang="tr-TR"/>
        </a:p>
      </dgm:t>
    </dgm:pt>
    <dgm:pt modelId="{7C3D2ACD-6BB0-476D-BB35-65A71DA14A52}" type="pres">
      <dgm:prSet presAssocID="{F9CD0FB2-2F0D-424A-AB9E-5AF113E94271}" presName="matrix" presStyleCnt="0">
        <dgm:presLayoutVars>
          <dgm:chMax val="1"/>
          <dgm:dir/>
          <dgm:resizeHandles val="exact"/>
        </dgm:presLayoutVars>
      </dgm:prSet>
      <dgm:spPr/>
    </dgm:pt>
    <dgm:pt modelId="{A30B5FA8-BD1D-4F59-92B9-8740B9CF9DD6}" type="pres">
      <dgm:prSet presAssocID="{F9CD0FB2-2F0D-424A-AB9E-5AF113E94271}" presName="axisShape" presStyleLbl="bgShp" presStyleIdx="0" presStyleCnt="1"/>
      <dgm:spPr/>
    </dgm:pt>
    <dgm:pt modelId="{09C1B586-683F-4F4C-A801-767EC7D26036}" type="pres">
      <dgm:prSet presAssocID="{F9CD0FB2-2F0D-424A-AB9E-5AF113E94271}" presName="rect1" presStyleLbl="node1" presStyleIdx="0" presStyleCnt="4">
        <dgm:presLayoutVars>
          <dgm:chMax val="0"/>
          <dgm:chPref val="0"/>
          <dgm:bulletEnabled val="1"/>
        </dgm:presLayoutVars>
      </dgm:prSet>
      <dgm:spPr/>
      <dgm:t>
        <a:bodyPr/>
        <a:lstStyle/>
        <a:p>
          <a:endParaRPr lang="tr-TR"/>
        </a:p>
      </dgm:t>
    </dgm:pt>
    <dgm:pt modelId="{DE37BB55-CE9F-4421-BED7-34DA6357DA51}" type="pres">
      <dgm:prSet presAssocID="{F9CD0FB2-2F0D-424A-AB9E-5AF113E94271}" presName="rect2" presStyleLbl="node1" presStyleIdx="1" presStyleCnt="4">
        <dgm:presLayoutVars>
          <dgm:chMax val="0"/>
          <dgm:chPref val="0"/>
          <dgm:bulletEnabled val="1"/>
        </dgm:presLayoutVars>
      </dgm:prSet>
      <dgm:spPr/>
      <dgm:t>
        <a:bodyPr/>
        <a:lstStyle/>
        <a:p>
          <a:endParaRPr lang="tr-TR"/>
        </a:p>
      </dgm:t>
    </dgm:pt>
    <dgm:pt modelId="{EE80F01E-0D6B-4852-910C-6C33937FDB66}" type="pres">
      <dgm:prSet presAssocID="{F9CD0FB2-2F0D-424A-AB9E-5AF113E94271}" presName="rect3" presStyleLbl="node1" presStyleIdx="2" presStyleCnt="4">
        <dgm:presLayoutVars>
          <dgm:chMax val="0"/>
          <dgm:chPref val="0"/>
          <dgm:bulletEnabled val="1"/>
        </dgm:presLayoutVars>
      </dgm:prSet>
      <dgm:spPr/>
      <dgm:t>
        <a:bodyPr/>
        <a:lstStyle/>
        <a:p>
          <a:endParaRPr lang="tr-TR"/>
        </a:p>
      </dgm:t>
    </dgm:pt>
    <dgm:pt modelId="{E684CF0D-6158-4BDF-B90A-9C33CE49277D}" type="pres">
      <dgm:prSet presAssocID="{F9CD0FB2-2F0D-424A-AB9E-5AF113E94271}" presName="rect4" presStyleLbl="node1" presStyleIdx="3" presStyleCnt="4">
        <dgm:presLayoutVars>
          <dgm:chMax val="0"/>
          <dgm:chPref val="0"/>
          <dgm:bulletEnabled val="1"/>
        </dgm:presLayoutVars>
      </dgm:prSet>
      <dgm:spPr/>
      <dgm:t>
        <a:bodyPr/>
        <a:lstStyle/>
        <a:p>
          <a:endParaRPr lang="tr-TR"/>
        </a:p>
      </dgm:t>
    </dgm:pt>
  </dgm:ptLst>
  <dgm:cxnLst>
    <dgm:cxn modelId="{8594FF6A-0D06-4C93-AD19-370BD609E77F}" type="presOf" srcId="{32D6C97A-D542-4A00-B37A-7C3B362B0442}" destId="{09C1B586-683F-4F4C-A801-767EC7D26036}" srcOrd="0" destOrd="0" presId="urn:microsoft.com/office/officeart/2005/8/layout/matrix2"/>
    <dgm:cxn modelId="{7E7C64C4-D43C-4B88-8E42-B9837293F214}" srcId="{F9CD0FB2-2F0D-424A-AB9E-5AF113E94271}" destId="{29AECD52-8A3E-4215-80AC-F41A82545571}" srcOrd="3" destOrd="0" parTransId="{F5DFB0AE-3060-4C73-8E7C-73AD0E62740F}" sibTransId="{8021FE59-C83C-4213-BEE0-D476BD892ACB}"/>
    <dgm:cxn modelId="{623596AD-E141-4C0E-95C5-B0055BBD2660}" type="presOf" srcId="{1535B420-78C2-455E-AAFB-858CF4793C25}" destId="{EE80F01E-0D6B-4852-910C-6C33937FDB66}" srcOrd="0" destOrd="0" presId="urn:microsoft.com/office/officeart/2005/8/layout/matrix2"/>
    <dgm:cxn modelId="{33A4F5CD-D28B-43EB-AD6D-9D07591EBBFC}" type="presOf" srcId="{29AECD52-8A3E-4215-80AC-F41A82545571}" destId="{E684CF0D-6158-4BDF-B90A-9C33CE49277D}" srcOrd="0" destOrd="0" presId="urn:microsoft.com/office/officeart/2005/8/layout/matrix2"/>
    <dgm:cxn modelId="{B4DDCBC3-A343-46EE-9706-0F4C781D6E86}" srcId="{F9CD0FB2-2F0D-424A-AB9E-5AF113E94271}" destId="{32D6C97A-D542-4A00-B37A-7C3B362B0442}" srcOrd="0" destOrd="0" parTransId="{0FFC5930-CD6D-45B2-9543-18E47F19954B}" sibTransId="{DFE9A515-C98E-4296-AC82-4608A09115EE}"/>
    <dgm:cxn modelId="{E723E56C-0307-401C-B1CD-C9677A32DBFD}" type="presOf" srcId="{0FFA92C6-8962-460C-9950-3FA6F967816F}" destId="{DE37BB55-CE9F-4421-BED7-34DA6357DA51}" srcOrd="0" destOrd="0" presId="urn:microsoft.com/office/officeart/2005/8/layout/matrix2"/>
    <dgm:cxn modelId="{720F3EC9-2ED9-4B1E-A785-4ACB58D03E07}" srcId="{F9CD0FB2-2F0D-424A-AB9E-5AF113E94271}" destId="{1535B420-78C2-455E-AAFB-858CF4793C25}" srcOrd="2" destOrd="0" parTransId="{9B5586BD-2AF9-4EE5-AF31-A4D0DD634EEF}" sibTransId="{6C8AC10C-1805-42F3-BC6F-56A71E0DC6F5}"/>
    <dgm:cxn modelId="{AB0257B4-A471-4157-AB6E-6BF663F137A4}" srcId="{F9CD0FB2-2F0D-424A-AB9E-5AF113E94271}" destId="{0FFA92C6-8962-460C-9950-3FA6F967816F}" srcOrd="1" destOrd="0" parTransId="{DF8833C1-01A2-41AF-B2F1-DD338E0B546C}" sibTransId="{981B04EE-16CE-48E3-B8DA-86C1726625A8}"/>
    <dgm:cxn modelId="{AD751CFA-4161-4527-8743-62341940DD52}" type="presOf" srcId="{F9CD0FB2-2F0D-424A-AB9E-5AF113E94271}" destId="{7C3D2ACD-6BB0-476D-BB35-65A71DA14A52}" srcOrd="0" destOrd="0" presId="urn:microsoft.com/office/officeart/2005/8/layout/matrix2"/>
    <dgm:cxn modelId="{1B58E0A4-C084-4E49-80F6-2DB6E17FD4D3}" type="presParOf" srcId="{7C3D2ACD-6BB0-476D-BB35-65A71DA14A52}" destId="{A30B5FA8-BD1D-4F59-92B9-8740B9CF9DD6}" srcOrd="0" destOrd="0" presId="urn:microsoft.com/office/officeart/2005/8/layout/matrix2"/>
    <dgm:cxn modelId="{BED8E2E8-524E-4624-AF9D-AEF5ED4A50A4}" type="presParOf" srcId="{7C3D2ACD-6BB0-476D-BB35-65A71DA14A52}" destId="{09C1B586-683F-4F4C-A801-767EC7D26036}" srcOrd="1" destOrd="0" presId="urn:microsoft.com/office/officeart/2005/8/layout/matrix2"/>
    <dgm:cxn modelId="{4B3FD42B-D27E-4A7F-B224-84F2470A0C93}" type="presParOf" srcId="{7C3D2ACD-6BB0-476D-BB35-65A71DA14A52}" destId="{DE37BB55-CE9F-4421-BED7-34DA6357DA51}" srcOrd="2" destOrd="0" presId="urn:microsoft.com/office/officeart/2005/8/layout/matrix2"/>
    <dgm:cxn modelId="{4763F37A-F1D1-4C1C-B632-014D6A0E08B6}" type="presParOf" srcId="{7C3D2ACD-6BB0-476D-BB35-65A71DA14A52}" destId="{EE80F01E-0D6B-4852-910C-6C33937FDB66}" srcOrd="3" destOrd="0" presId="urn:microsoft.com/office/officeart/2005/8/layout/matrix2"/>
    <dgm:cxn modelId="{51E77A0B-5F23-44A5-92E9-FFDB3A8817D3}" type="presParOf" srcId="{7C3D2ACD-6BB0-476D-BB35-65A71DA14A52}" destId="{E684CF0D-6158-4BDF-B90A-9C33CE49277D}" srcOrd="4" destOrd="0" presId="urn:microsoft.com/office/officeart/2005/8/layout/matrix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BAAF56-5C1E-4EBA-AB21-7DA41AAAE80D}" type="doc">
      <dgm:prSet loTypeId="urn:microsoft.com/office/officeart/2005/8/layout/matrix2" loCatId="matrix" qsTypeId="urn:microsoft.com/office/officeart/2005/8/quickstyle/simple1" qsCatId="simple" csTypeId="urn:microsoft.com/office/officeart/2005/8/colors/colorful5" csCatId="colorful" phldr="1"/>
      <dgm:spPr/>
      <dgm:t>
        <a:bodyPr/>
        <a:lstStyle/>
        <a:p>
          <a:endParaRPr lang="tr-TR"/>
        </a:p>
      </dgm:t>
    </dgm:pt>
    <dgm:pt modelId="{431E7B8E-7B65-41B4-AE8A-B8634653215D}">
      <dgm:prSet phldrT="[Metin]"/>
      <dgm:spPr/>
      <dgm:t>
        <a:bodyPr/>
        <a:lstStyle/>
        <a:p>
          <a:r>
            <a:rPr lang="en-GB" b="1"/>
            <a:t>2.3. Analysis of Data</a:t>
          </a:r>
          <a:endParaRPr lang="tr-TR"/>
        </a:p>
        <a:p>
          <a:r>
            <a:rPr lang="en-GB"/>
            <a:t>In the research, descriptive analysis was made by coding the data obtained from the interviews in accordance with the themes and sub-themes determined before the interviews. In addition, content analysis was carried out by coding in accordance with the new themes that emerged during the examination of the data. Therefore, in the research, the data were analyzed with a mixed method by using both descriptive and content analysis. Data obtained from the researcher-practitioner diary and observations were included in the research by making direct quotations. In qualitative research, direct quotations will contribute to the understanding of social events, as this will enable in-depth discovery of the subject.</a:t>
          </a:r>
          <a:endParaRPr lang="tr-TR"/>
        </a:p>
      </dgm:t>
    </dgm:pt>
    <dgm:pt modelId="{110ECD9E-E3DC-4B09-916B-4D4B86A545AA}" type="parTrans" cxnId="{515BAC2F-E938-46B1-AC4E-0E1B99563CBB}">
      <dgm:prSet/>
      <dgm:spPr/>
      <dgm:t>
        <a:bodyPr/>
        <a:lstStyle/>
        <a:p>
          <a:endParaRPr lang="tr-TR"/>
        </a:p>
      </dgm:t>
    </dgm:pt>
    <dgm:pt modelId="{60DCB867-AA56-4C64-8CFD-B6A7C0E101E5}" type="sibTrans" cxnId="{515BAC2F-E938-46B1-AC4E-0E1B99563CBB}">
      <dgm:prSet/>
      <dgm:spPr/>
      <dgm:t>
        <a:bodyPr/>
        <a:lstStyle/>
        <a:p>
          <a:endParaRPr lang="tr-TR"/>
        </a:p>
      </dgm:t>
    </dgm:pt>
    <dgm:pt modelId="{07D0EC44-CCD8-4B54-A593-B328009AAD3E}">
      <dgm:prSet phldrT="[Metin]"/>
      <dgm:spPr/>
      <dgm:t>
        <a:bodyPr/>
        <a:lstStyle/>
        <a:p>
          <a:r>
            <a:rPr lang="en-GB" b="1"/>
            <a:t>2.5. Implementation of Action Plans</a:t>
          </a:r>
          <a:endParaRPr lang="tr-TR"/>
        </a:p>
        <a:p>
          <a:r>
            <a:rPr lang="es-ES"/>
            <a:t>The varieties of pre-speaking activities are implemented in 9/D class in the academic year 2018/2019. The teacher starts the speaking class with the varieties of pre-speaking activities before giving the students a speaking subject. Within the scope of the research, a total of five different activities were held in two weeks with the students. The researcher is also a practicing English teacher. The practitioner treats the problems he / she detected in his / her lesson as a researcher and aims to eliminate the problems. A number of pre-speaking language learning strategies were taugt before speaking activity.</a:t>
          </a:r>
          <a:endParaRPr lang="tr-TR"/>
        </a:p>
      </dgm:t>
    </dgm:pt>
    <dgm:pt modelId="{9A1AA224-2A02-4562-A00C-3986E8DBB8AA}" type="parTrans" cxnId="{69247DA0-F582-4AA9-8F13-E0CAA3E7F6AE}">
      <dgm:prSet/>
      <dgm:spPr/>
      <dgm:t>
        <a:bodyPr/>
        <a:lstStyle/>
        <a:p>
          <a:endParaRPr lang="tr-TR"/>
        </a:p>
      </dgm:t>
    </dgm:pt>
    <dgm:pt modelId="{95ADCED5-EF6D-42B7-BB58-72A8A0FE8B39}" type="sibTrans" cxnId="{69247DA0-F582-4AA9-8F13-E0CAA3E7F6AE}">
      <dgm:prSet/>
      <dgm:spPr/>
      <dgm:t>
        <a:bodyPr/>
        <a:lstStyle/>
        <a:p>
          <a:endParaRPr lang="tr-TR"/>
        </a:p>
      </dgm:t>
    </dgm:pt>
    <dgm:pt modelId="{F4A7DEC2-A8B4-400D-B742-A62A09AA0DC4}">
      <dgm:prSet phldrT="[Metin]"/>
      <dgm:spPr/>
      <dgm:t>
        <a:bodyPr/>
        <a:lstStyle/>
        <a:p>
          <a:r>
            <a:rPr lang="en-GB" b="1"/>
            <a:t>2.4. Reliability and Validity</a:t>
          </a:r>
          <a:endParaRPr lang="tr-TR"/>
        </a:p>
        <a:p>
          <a:r>
            <a:rPr lang="en-GB"/>
            <a:t>One of the methods that can be used to ensure the reliability of the data collected in qualitative research is triangulation [10]. Triangulation is the comparison of the results of two or more data collection methods, two or more data sources. Thus, weaknesses of one of the methods can be compensated by the strengths of the other method [11]. In this study, the reliability of the study was ensured by diversifying the data collection tools during and after the action research application.</a:t>
          </a:r>
          <a:endParaRPr lang="tr-TR"/>
        </a:p>
      </dgm:t>
    </dgm:pt>
    <dgm:pt modelId="{809E529D-3906-4329-B829-155EE945EF9E}" type="parTrans" cxnId="{B71F90AE-2AFC-4E25-B03D-3428C24A61EB}">
      <dgm:prSet/>
      <dgm:spPr/>
      <dgm:t>
        <a:bodyPr/>
        <a:lstStyle/>
        <a:p>
          <a:endParaRPr lang="tr-TR"/>
        </a:p>
      </dgm:t>
    </dgm:pt>
    <dgm:pt modelId="{33EEB4A9-F226-4B35-85D2-A50B806236EC}" type="sibTrans" cxnId="{B71F90AE-2AFC-4E25-B03D-3428C24A61EB}">
      <dgm:prSet/>
      <dgm:spPr/>
      <dgm:t>
        <a:bodyPr/>
        <a:lstStyle/>
        <a:p>
          <a:endParaRPr lang="tr-TR"/>
        </a:p>
      </dgm:t>
    </dgm:pt>
    <dgm:pt modelId="{EA3F1C3B-6212-48DF-8CE0-2D94815DD349}">
      <dgm:prSet phldrT="[Metin]"/>
      <dgm:spPr/>
      <dgm:t>
        <a:bodyPr/>
        <a:lstStyle/>
        <a:p>
          <a:r>
            <a:rPr lang="tr-TR" b="1"/>
            <a:t>3</a:t>
          </a:r>
          <a:r>
            <a:rPr lang="en-GB" b="1"/>
            <a:t>. Conclusion and Discussion</a:t>
          </a:r>
          <a:endParaRPr lang="tr-TR"/>
        </a:p>
        <a:p>
          <a:r>
            <a:rPr lang="en-GB"/>
            <a:t>The ability to speak in English is very important and difficult for language learning learning process. Language learners want to understand what is spoken in the target language. However, they also want to speak this target language fluently and accurately. In this study, it is aimed to eliminate the problems that students face with speaking skills in learning environment by using pre-speaking language learning strategies. For this purpose, three action plans covering pre-speaking learning strategies prepared by the researcher-practitioner English teacher, carrying out the research, were applied to the study group of the research. In the first action plan of the research, first of all, it was tried to introduce students to what pre-speaking language learning strategies are and what they will do. </a:t>
          </a:r>
          <a:endParaRPr lang="tr-TR"/>
        </a:p>
      </dgm:t>
    </dgm:pt>
    <dgm:pt modelId="{24706271-B977-4493-B0FE-261407196E1C}" type="parTrans" cxnId="{EDD6E812-C333-47C6-8C9E-BF925D35434F}">
      <dgm:prSet/>
      <dgm:spPr/>
      <dgm:t>
        <a:bodyPr/>
        <a:lstStyle/>
        <a:p>
          <a:endParaRPr lang="tr-TR"/>
        </a:p>
      </dgm:t>
    </dgm:pt>
    <dgm:pt modelId="{09DED7E3-EF48-406F-ADEE-186D3CF69A3B}" type="sibTrans" cxnId="{EDD6E812-C333-47C6-8C9E-BF925D35434F}">
      <dgm:prSet/>
      <dgm:spPr/>
      <dgm:t>
        <a:bodyPr/>
        <a:lstStyle/>
        <a:p>
          <a:endParaRPr lang="tr-TR"/>
        </a:p>
      </dgm:t>
    </dgm:pt>
    <dgm:pt modelId="{EB9A21FD-24E9-4CAE-A0A8-9686B4C54EF4}" type="pres">
      <dgm:prSet presAssocID="{1FBAAF56-5C1E-4EBA-AB21-7DA41AAAE80D}" presName="matrix" presStyleCnt="0">
        <dgm:presLayoutVars>
          <dgm:chMax val="1"/>
          <dgm:dir/>
          <dgm:resizeHandles val="exact"/>
        </dgm:presLayoutVars>
      </dgm:prSet>
      <dgm:spPr/>
    </dgm:pt>
    <dgm:pt modelId="{B74B6FC6-9B18-4066-9287-1C4EEFECDDDF}" type="pres">
      <dgm:prSet presAssocID="{1FBAAF56-5C1E-4EBA-AB21-7DA41AAAE80D}" presName="axisShape" presStyleLbl="bgShp" presStyleIdx="0" presStyleCnt="1"/>
      <dgm:spPr/>
    </dgm:pt>
    <dgm:pt modelId="{99A5CFCB-028F-4C59-BA0F-00196B5E0420}" type="pres">
      <dgm:prSet presAssocID="{1FBAAF56-5C1E-4EBA-AB21-7DA41AAAE80D}" presName="rect1" presStyleLbl="node1" presStyleIdx="0" presStyleCnt="4">
        <dgm:presLayoutVars>
          <dgm:chMax val="0"/>
          <dgm:chPref val="0"/>
          <dgm:bulletEnabled val="1"/>
        </dgm:presLayoutVars>
      </dgm:prSet>
      <dgm:spPr/>
      <dgm:t>
        <a:bodyPr/>
        <a:lstStyle/>
        <a:p>
          <a:endParaRPr lang="tr-TR"/>
        </a:p>
      </dgm:t>
    </dgm:pt>
    <dgm:pt modelId="{0E123FDA-B4B3-4145-B225-4D4FF97BE4F0}" type="pres">
      <dgm:prSet presAssocID="{1FBAAF56-5C1E-4EBA-AB21-7DA41AAAE80D}" presName="rect2" presStyleLbl="node1" presStyleIdx="1" presStyleCnt="4">
        <dgm:presLayoutVars>
          <dgm:chMax val="0"/>
          <dgm:chPref val="0"/>
          <dgm:bulletEnabled val="1"/>
        </dgm:presLayoutVars>
      </dgm:prSet>
      <dgm:spPr/>
      <dgm:t>
        <a:bodyPr/>
        <a:lstStyle/>
        <a:p>
          <a:endParaRPr lang="tr-TR"/>
        </a:p>
      </dgm:t>
    </dgm:pt>
    <dgm:pt modelId="{114C8896-4246-41A5-A401-F8F24B13C4A3}" type="pres">
      <dgm:prSet presAssocID="{1FBAAF56-5C1E-4EBA-AB21-7DA41AAAE80D}" presName="rect3" presStyleLbl="node1" presStyleIdx="2" presStyleCnt="4">
        <dgm:presLayoutVars>
          <dgm:chMax val="0"/>
          <dgm:chPref val="0"/>
          <dgm:bulletEnabled val="1"/>
        </dgm:presLayoutVars>
      </dgm:prSet>
      <dgm:spPr/>
      <dgm:t>
        <a:bodyPr/>
        <a:lstStyle/>
        <a:p>
          <a:endParaRPr lang="tr-TR"/>
        </a:p>
      </dgm:t>
    </dgm:pt>
    <dgm:pt modelId="{7EEADDC3-6CC1-49AD-889E-C1125155682E}" type="pres">
      <dgm:prSet presAssocID="{1FBAAF56-5C1E-4EBA-AB21-7DA41AAAE80D}" presName="rect4" presStyleLbl="node1" presStyleIdx="3" presStyleCnt="4">
        <dgm:presLayoutVars>
          <dgm:chMax val="0"/>
          <dgm:chPref val="0"/>
          <dgm:bulletEnabled val="1"/>
        </dgm:presLayoutVars>
      </dgm:prSet>
      <dgm:spPr/>
      <dgm:t>
        <a:bodyPr/>
        <a:lstStyle/>
        <a:p>
          <a:endParaRPr lang="tr-TR"/>
        </a:p>
      </dgm:t>
    </dgm:pt>
  </dgm:ptLst>
  <dgm:cxnLst>
    <dgm:cxn modelId="{B71F90AE-2AFC-4E25-B03D-3428C24A61EB}" srcId="{1FBAAF56-5C1E-4EBA-AB21-7DA41AAAE80D}" destId="{F4A7DEC2-A8B4-400D-B742-A62A09AA0DC4}" srcOrd="2" destOrd="0" parTransId="{809E529D-3906-4329-B829-155EE945EF9E}" sibTransId="{33EEB4A9-F226-4B35-85D2-A50B806236EC}"/>
    <dgm:cxn modelId="{515BAC2F-E938-46B1-AC4E-0E1B99563CBB}" srcId="{1FBAAF56-5C1E-4EBA-AB21-7DA41AAAE80D}" destId="{431E7B8E-7B65-41B4-AE8A-B8634653215D}" srcOrd="0" destOrd="0" parTransId="{110ECD9E-E3DC-4B09-916B-4D4B86A545AA}" sibTransId="{60DCB867-AA56-4C64-8CFD-B6A7C0E101E5}"/>
    <dgm:cxn modelId="{69247DA0-F582-4AA9-8F13-E0CAA3E7F6AE}" srcId="{1FBAAF56-5C1E-4EBA-AB21-7DA41AAAE80D}" destId="{07D0EC44-CCD8-4B54-A593-B328009AAD3E}" srcOrd="1" destOrd="0" parTransId="{9A1AA224-2A02-4562-A00C-3986E8DBB8AA}" sibTransId="{95ADCED5-EF6D-42B7-BB58-72A8A0FE8B39}"/>
    <dgm:cxn modelId="{A184E643-CE23-4FBE-9199-AFC5D65676FF}" type="presOf" srcId="{431E7B8E-7B65-41B4-AE8A-B8634653215D}" destId="{99A5CFCB-028F-4C59-BA0F-00196B5E0420}" srcOrd="0" destOrd="0" presId="urn:microsoft.com/office/officeart/2005/8/layout/matrix2"/>
    <dgm:cxn modelId="{9CC0BFB7-F336-41C4-9648-016B602B8D98}" type="presOf" srcId="{EA3F1C3B-6212-48DF-8CE0-2D94815DD349}" destId="{7EEADDC3-6CC1-49AD-889E-C1125155682E}" srcOrd="0" destOrd="0" presId="urn:microsoft.com/office/officeart/2005/8/layout/matrix2"/>
    <dgm:cxn modelId="{EDD6E812-C333-47C6-8C9E-BF925D35434F}" srcId="{1FBAAF56-5C1E-4EBA-AB21-7DA41AAAE80D}" destId="{EA3F1C3B-6212-48DF-8CE0-2D94815DD349}" srcOrd="3" destOrd="0" parTransId="{24706271-B977-4493-B0FE-261407196E1C}" sibTransId="{09DED7E3-EF48-406F-ADEE-186D3CF69A3B}"/>
    <dgm:cxn modelId="{FFD409DB-3054-44FE-909E-73E499A72E05}" type="presOf" srcId="{F4A7DEC2-A8B4-400D-B742-A62A09AA0DC4}" destId="{114C8896-4246-41A5-A401-F8F24B13C4A3}" srcOrd="0" destOrd="0" presId="urn:microsoft.com/office/officeart/2005/8/layout/matrix2"/>
    <dgm:cxn modelId="{45F41B82-4713-449F-B688-52D3D5AA62B9}" type="presOf" srcId="{1FBAAF56-5C1E-4EBA-AB21-7DA41AAAE80D}" destId="{EB9A21FD-24E9-4CAE-A0A8-9686B4C54EF4}" srcOrd="0" destOrd="0" presId="urn:microsoft.com/office/officeart/2005/8/layout/matrix2"/>
    <dgm:cxn modelId="{1E32CB95-F549-4434-A560-464E72F547EA}" type="presOf" srcId="{07D0EC44-CCD8-4B54-A593-B328009AAD3E}" destId="{0E123FDA-B4B3-4145-B225-4D4FF97BE4F0}" srcOrd="0" destOrd="0" presId="urn:microsoft.com/office/officeart/2005/8/layout/matrix2"/>
    <dgm:cxn modelId="{53425707-C4BA-4990-8C20-127A979C3BA1}" type="presParOf" srcId="{EB9A21FD-24E9-4CAE-A0A8-9686B4C54EF4}" destId="{B74B6FC6-9B18-4066-9287-1C4EEFECDDDF}" srcOrd="0" destOrd="0" presId="urn:microsoft.com/office/officeart/2005/8/layout/matrix2"/>
    <dgm:cxn modelId="{BA8C9B05-1124-4170-81FD-99BAA04250AB}" type="presParOf" srcId="{EB9A21FD-24E9-4CAE-A0A8-9686B4C54EF4}" destId="{99A5CFCB-028F-4C59-BA0F-00196B5E0420}" srcOrd="1" destOrd="0" presId="urn:microsoft.com/office/officeart/2005/8/layout/matrix2"/>
    <dgm:cxn modelId="{021DB25C-14CA-4E98-8E94-E8D6B4DDBD02}" type="presParOf" srcId="{EB9A21FD-24E9-4CAE-A0A8-9686B4C54EF4}" destId="{0E123FDA-B4B3-4145-B225-4D4FF97BE4F0}" srcOrd="2" destOrd="0" presId="urn:microsoft.com/office/officeart/2005/8/layout/matrix2"/>
    <dgm:cxn modelId="{0DCA0C53-EC30-467A-A919-12893DC81666}" type="presParOf" srcId="{EB9A21FD-24E9-4CAE-A0A8-9686B4C54EF4}" destId="{114C8896-4246-41A5-A401-F8F24B13C4A3}" srcOrd="3" destOrd="0" presId="urn:microsoft.com/office/officeart/2005/8/layout/matrix2"/>
    <dgm:cxn modelId="{6E1584D0-72F5-44C3-8CCC-1EDE6F570ED4}" type="presParOf" srcId="{EB9A21FD-24E9-4CAE-A0A8-9686B4C54EF4}" destId="{7EEADDC3-6CC1-49AD-889E-C1125155682E}" srcOrd="4" destOrd="0" presId="urn:microsoft.com/office/officeart/2005/8/layout/matrix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B5FA8-BD1D-4F59-92B9-8740B9CF9DD6}">
      <dsp:nvSpPr>
        <dsp:cNvPr id="0" name=""/>
        <dsp:cNvSpPr/>
      </dsp:nvSpPr>
      <dsp:spPr>
        <a:xfrm>
          <a:off x="0" y="817033"/>
          <a:ext cx="5486400" cy="5486400"/>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C1B586-683F-4F4C-A801-767EC7D26036}">
      <dsp:nvSpPr>
        <dsp:cNvPr id="0" name=""/>
        <dsp:cNvSpPr/>
      </dsp:nvSpPr>
      <dsp:spPr>
        <a:xfrm>
          <a:off x="356616" y="1173649"/>
          <a:ext cx="2194560" cy="21945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1. Introduction</a:t>
          </a:r>
          <a:endParaRPr lang="tr-TR" sz="800" kern="1200"/>
        </a:p>
        <a:p>
          <a:pPr lvl="0" algn="ctr" defTabSz="355600">
            <a:lnSpc>
              <a:spcPct val="90000"/>
            </a:lnSpc>
            <a:spcBef>
              <a:spcPct val="0"/>
            </a:spcBef>
            <a:spcAft>
              <a:spcPct val="35000"/>
            </a:spcAft>
          </a:pPr>
          <a:r>
            <a:rPr lang="tr-TR" sz="800" kern="1200"/>
            <a:t>Speaking, among the four major skills, seems mostly favored as every English language learner aspires to be effective in communication. In other words, speaking has always been the most challenging skill for most of students. The importance of teaching speaking skill is that language is acquired through speaking and listening before one learns reading and writing.</a:t>
          </a:r>
        </a:p>
      </dsp:txBody>
      <dsp:txXfrm>
        <a:off x="463746" y="1280779"/>
        <a:ext cx="1980300" cy="1980300"/>
      </dsp:txXfrm>
    </dsp:sp>
    <dsp:sp modelId="{DE37BB55-CE9F-4421-BED7-34DA6357DA51}">
      <dsp:nvSpPr>
        <dsp:cNvPr id="0" name=""/>
        <dsp:cNvSpPr/>
      </dsp:nvSpPr>
      <dsp:spPr>
        <a:xfrm>
          <a:off x="2935223" y="1173649"/>
          <a:ext cx="2194560" cy="2194560"/>
        </a:xfrm>
        <a:prstGeom prst="round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2.1. Sample of the Study</a:t>
          </a:r>
          <a:endParaRPr lang="tr-TR" sz="800" kern="1200"/>
        </a:p>
        <a:p>
          <a:pPr lvl="0" algn="ctr" defTabSz="355600">
            <a:lnSpc>
              <a:spcPct val="90000"/>
            </a:lnSpc>
            <a:spcBef>
              <a:spcPct val="0"/>
            </a:spcBef>
            <a:spcAft>
              <a:spcPct val="35000"/>
            </a:spcAft>
          </a:pPr>
          <a:r>
            <a:rPr lang="en-GB" sz="800" kern="1200"/>
            <a:t>The study group of the research was determined with the purposeful sampling method, which is one of the non-random sampling methods in order to conduct in-depth research and to reach data rich in accordance with the research problem. The study included 34 students, 20 females and 14 males, who continued their education in the 9-D class in a high school in the city center of Afyonkarahisar in the 2018-2019 academic year.</a:t>
          </a:r>
          <a:endParaRPr lang="tr-TR" sz="800" kern="1200"/>
        </a:p>
      </dsp:txBody>
      <dsp:txXfrm>
        <a:off x="3042353" y="1280779"/>
        <a:ext cx="1980300" cy="1980300"/>
      </dsp:txXfrm>
    </dsp:sp>
    <dsp:sp modelId="{EE80F01E-0D6B-4852-910C-6C33937FDB66}">
      <dsp:nvSpPr>
        <dsp:cNvPr id="0" name=""/>
        <dsp:cNvSpPr/>
      </dsp:nvSpPr>
      <dsp:spPr>
        <a:xfrm>
          <a:off x="356616" y="3752257"/>
          <a:ext cx="2194560" cy="2194560"/>
        </a:xfrm>
        <a:prstGeom prst="round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2. Method</a:t>
          </a:r>
          <a:endParaRPr lang="tr-TR" sz="800" kern="1200"/>
        </a:p>
        <a:p>
          <a:pPr lvl="0" algn="ctr" defTabSz="355600">
            <a:lnSpc>
              <a:spcPct val="90000"/>
            </a:lnSpc>
            <a:spcBef>
              <a:spcPct val="0"/>
            </a:spcBef>
            <a:spcAft>
              <a:spcPct val="35000"/>
            </a:spcAft>
          </a:pPr>
          <a:r>
            <a:rPr lang="en-GB" sz="800" kern="1200"/>
            <a:t>The research was handled with the action research method, which is one of the qualitative research methods. Action research critically addresses the development and implementation of educational workers' own schools, classes, educational studies and initiatives, and the assessment of their effectiveness. </a:t>
          </a:r>
          <a:endParaRPr lang="tr-TR" sz="800" kern="1200"/>
        </a:p>
      </dsp:txBody>
      <dsp:txXfrm>
        <a:off x="463746" y="3859387"/>
        <a:ext cx="1980300" cy="1980300"/>
      </dsp:txXfrm>
    </dsp:sp>
    <dsp:sp modelId="{E684CF0D-6158-4BDF-B90A-9C33CE49277D}">
      <dsp:nvSpPr>
        <dsp:cNvPr id="0" name=""/>
        <dsp:cNvSpPr/>
      </dsp:nvSpPr>
      <dsp:spPr>
        <a:xfrm>
          <a:off x="2935223" y="3752257"/>
          <a:ext cx="2194560" cy="219456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2.2. Data Collection Tools</a:t>
          </a:r>
          <a:endParaRPr lang="tr-TR" sz="800" kern="1200"/>
        </a:p>
        <a:p>
          <a:pPr lvl="0" algn="ctr" defTabSz="355600">
            <a:lnSpc>
              <a:spcPct val="90000"/>
            </a:lnSpc>
            <a:spcBef>
              <a:spcPct val="0"/>
            </a:spcBef>
            <a:spcAft>
              <a:spcPct val="35000"/>
            </a:spcAft>
          </a:pPr>
          <a:r>
            <a:rPr lang="en-GB" sz="800" kern="1200"/>
            <a:t>As the research was designed as a qualitative research, qualitative data collection tools were used in the data collection process. The data collection process of this research was carried out in two stages. The first data related to the research were collected during the implementation of the action plans. In this process, observation form and researcher diaries were used as data collection tools.</a:t>
          </a:r>
          <a:endParaRPr lang="tr-TR" sz="800" kern="1200"/>
        </a:p>
        <a:p>
          <a:pPr lvl="0" algn="ctr" defTabSz="355600">
            <a:lnSpc>
              <a:spcPct val="90000"/>
            </a:lnSpc>
            <a:spcBef>
              <a:spcPct val="0"/>
            </a:spcBef>
            <a:spcAft>
              <a:spcPct val="35000"/>
            </a:spcAft>
          </a:pPr>
          <a:r>
            <a:rPr lang="en-US" sz="800" kern="1200"/>
            <a:t>The second step of collecting data for the research is to conduct interviews. At this stage, the data were collected through semi-structured interview forms. </a:t>
          </a:r>
          <a:endParaRPr lang="tr-TR" sz="800" kern="1200"/>
        </a:p>
      </dsp:txBody>
      <dsp:txXfrm>
        <a:off x="3042353" y="3859387"/>
        <a:ext cx="1980300" cy="19803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B6FC6-9B18-4066-9287-1C4EEFECDDDF}">
      <dsp:nvSpPr>
        <dsp:cNvPr id="0" name=""/>
        <dsp:cNvSpPr/>
      </dsp:nvSpPr>
      <dsp:spPr>
        <a:xfrm>
          <a:off x="0" y="1642533"/>
          <a:ext cx="5486400" cy="5486400"/>
        </a:xfrm>
        <a:prstGeom prst="quadArrow">
          <a:avLst>
            <a:gd name="adj1" fmla="val 2000"/>
            <a:gd name="adj2" fmla="val 4000"/>
            <a:gd name="adj3" fmla="val 5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A5CFCB-028F-4C59-BA0F-00196B5E0420}">
      <dsp:nvSpPr>
        <dsp:cNvPr id="0" name=""/>
        <dsp:cNvSpPr/>
      </dsp:nvSpPr>
      <dsp:spPr>
        <a:xfrm>
          <a:off x="356616" y="1999149"/>
          <a:ext cx="2194560" cy="219456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2.3. Analysis of Data</a:t>
          </a:r>
          <a:endParaRPr lang="tr-TR" sz="700" kern="1200"/>
        </a:p>
        <a:p>
          <a:pPr lvl="0" algn="ctr" defTabSz="311150">
            <a:lnSpc>
              <a:spcPct val="90000"/>
            </a:lnSpc>
            <a:spcBef>
              <a:spcPct val="0"/>
            </a:spcBef>
            <a:spcAft>
              <a:spcPct val="35000"/>
            </a:spcAft>
          </a:pPr>
          <a:r>
            <a:rPr lang="en-GB" sz="700" kern="1200"/>
            <a:t>In the research, descriptive analysis was made by coding the data obtained from the interviews in accordance with the themes and sub-themes determined before the interviews. In addition, content analysis was carried out by coding in accordance with the new themes that emerged during the examination of the data. Therefore, in the research, the data were analyzed with a mixed method by using both descriptive and content analysis. Data obtained from the researcher-practitioner diary and observations were included in the research by making direct quotations. In qualitative research, direct quotations will contribute to the understanding of social events, as this will enable in-depth discovery of the subject.</a:t>
          </a:r>
          <a:endParaRPr lang="tr-TR" sz="700" kern="1200"/>
        </a:p>
      </dsp:txBody>
      <dsp:txXfrm>
        <a:off x="463746" y="2106279"/>
        <a:ext cx="1980300" cy="1980300"/>
      </dsp:txXfrm>
    </dsp:sp>
    <dsp:sp modelId="{0E123FDA-B4B3-4145-B225-4D4FF97BE4F0}">
      <dsp:nvSpPr>
        <dsp:cNvPr id="0" name=""/>
        <dsp:cNvSpPr/>
      </dsp:nvSpPr>
      <dsp:spPr>
        <a:xfrm>
          <a:off x="2935223" y="1999149"/>
          <a:ext cx="2194560" cy="2194560"/>
        </a:xfrm>
        <a:prstGeom prst="round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2.5. Implementation of Action Plans</a:t>
          </a:r>
          <a:endParaRPr lang="tr-TR" sz="700" kern="1200"/>
        </a:p>
        <a:p>
          <a:pPr lvl="0" algn="ctr" defTabSz="311150">
            <a:lnSpc>
              <a:spcPct val="90000"/>
            </a:lnSpc>
            <a:spcBef>
              <a:spcPct val="0"/>
            </a:spcBef>
            <a:spcAft>
              <a:spcPct val="35000"/>
            </a:spcAft>
          </a:pPr>
          <a:r>
            <a:rPr lang="es-ES" sz="700" kern="1200"/>
            <a:t>The varieties of pre-speaking activities are implemented in 9/D class in the academic year 2018/2019. The teacher starts the speaking class with the varieties of pre-speaking activities before giving the students a speaking subject. Within the scope of the research, a total of five different activities were held in two weeks with the students. The researcher is also a practicing English teacher. The practitioner treats the problems he / she detected in his / her lesson as a researcher and aims to eliminate the problems. A number of pre-speaking language learning strategies were taugt before speaking activity.</a:t>
          </a:r>
          <a:endParaRPr lang="tr-TR" sz="700" kern="1200"/>
        </a:p>
      </dsp:txBody>
      <dsp:txXfrm>
        <a:off x="3042353" y="2106279"/>
        <a:ext cx="1980300" cy="1980300"/>
      </dsp:txXfrm>
    </dsp:sp>
    <dsp:sp modelId="{114C8896-4246-41A5-A401-F8F24B13C4A3}">
      <dsp:nvSpPr>
        <dsp:cNvPr id="0" name=""/>
        <dsp:cNvSpPr/>
      </dsp:nvSpPr>
      <dsp:spPr>
        <a:xfrm>
          <a:off x="356616" y="4577757"/>
          <a:ext cx="2194560" cy="2194560"/>
        </a:xfrm>
        <a:prstGeom prst="round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2.4. Reliability and Validity</a:t>
          </a:r>
          <a:endParaRPr lang="tr-TR" sz="700" kern="1200"/>
        </a:p>
        <a:p>
          <a:pPr lvl="0" algn="ctr" defTabSz="311150">
            <a:lnSpc>
              <a:spcPct val="90000"/>
            </a:lnSpc>
            <a:spcBef>
              <a:spcPct val="0"/>
            </a:spcBef>
            <a:spcAft>
              <a:spcPct val="35000"/>
            </a:spcAft>
          </a:pPr>
          <a:r>
            <a:rPr lang="en-GB" sz="700" kern="1200"/>
            <a:t>One of the methods that can be used to ensure the reliability of the data collected in qualitative research is triangulation [10]. Triangulation is the comparison of the results of two or more data collection methods, two or more data sources. Thus, weaknesses of one of the methods can be compensated by the strengths of the other method [11]. In this study, the reliability of the study was ensured by diversifying the data collection tools during and after the action research application.</a:t>
          </a:r>
          <a:endParaRPr lang="tr-TR" sz="700" kern="1200"/>
        </a:p>
      </dsp:txBody>
      <dsp:txXfrm>
        <a:off x="463746" y="4684887"/>
        <a:ext cx="1980300" cy="1980300"/>
      </dsp:txXfrm>
    </dsp:sp>
    <dsp:sp modelId="{7EEADDC3-6CC1-49AD-889E-C1125155682E}">
      <dsp:nvSpPr>
        <dsp:cNvPr id="0" name=""/>
        <dsp:cNvSpPr/>
      </dsp:nvSpPr>
      <dsp:spPr>
        <a:xfrm>
          <a:off x="2935223" y="4577757"/>
          <a:ext cx="2194560" cy="2194560"/>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kern="1200"/>
            <a:t>3</a:t>
          </a:r>
          <a:r>
            <a:rPr lang="en-GB" sz="700" b="1" kern="1200"/>
            <a:t>. Conclusion and Discussion</a:t>
          </a:r>
          <a:endParaRPr lang="tr-TR" sz="700" kern="1200"/>
        </a:p>
        <a:p>
          <a:pPr lvl="0" algn="ctr" defTabSz="311150">
            <a:lnSpc>
              <a:spcPct val="90000"/>
            </a:lnSpc>
            <a:spcBef>
              <a:spcPct val="0"/>
            </a:spcBef>
            <a:spcAft>
              <a:spcPct val="35000"/>
            </a:spcAft>
          </a:pPr>
          <a:r>
            <a:rPr lang="en-GB" sz="700" kern="1200"/>
            <a:t>The ability to speak in English is very important and difficult for language learning learning process. Language learners want to understand what is spoken in the target language. However, they also want to speak this target language fluently and accurately. In this study, it is aimed to eliminate the problems that students face with speaking skills in learning environment by using pre-speaking language learning strategies. For this purpose, three action plans covering pre-speaking learning strategies prepared by the researcher-practitioner English teacher, carrying out the research, were applied to the study group of the research. In the first action plan of the research, first of all, it was tried to introduce students to what pre-speaking language learning strategies are and what they will do. </a:t>
          </a:r>
          <a:endParaRPr lang="tr-TR" sz="700" kern="1200"/>
        </a:p>
      </dsp:txBody>
      <dsp:txXfrm>
        <a:off x="3042353" y="4684887"/>
        <a:ext cx="1980300" cy="198030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Words>
  <Characters>154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eab</dc:creator>
  <cp:lastModifiedBy>eab</cp:lastModifiedBy>
  <cp:revision>1</cp:revision>
  <dcterms:created xsi:type="dcterms:W3CDTF">2020-07-03T22:01:00Z</dcterms:created>
  <dcterms:modified xsi:type="dcterms:W3CDTF">2020-07-03T22:07:00Z</dcterms:modified>
</cp:coreProperties>
</file>